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2010 29 vom 5. August 2010</w:t>
      </w:r>
    </w:p>
    <w:p>
      <w:r>
        <w:t>GR Gerichte, 2010-08-05, DE</w:t>
      </w:r>
    </w:p>
    <w:p>
      <w:r>
        <w:rPr>
          <w:b/>
        </w:rPr>
        <w:t xml:space="preserve">Quelle: </w:t>
      </w:r>
      <w:r>
        <w:t>https://mcp.opencaselaw.ch/entscheid/gr_gerichte_ZK1 2010 29</w:t>
      </w:r>
    </w:p>
    <w:p>
      <w:r>
        <w:t>FR: GR_GERICHTE ZK1 2010 29 du 5 août 2010</w:t>
      </w:r>
    </w:p>
    <w:p>
      <w:r>
        <w:t>IT: GR_GERICHTE ZK1 2010 29 del 5 agosto 2010</w:t>
      </w:r>
    </w:p>
    <w:p>
      <w:pPr>
        <w:pStyle w:val="Heading2"/>
      </w:pPr>
      <w:r>
        <w:t>Regeste</w:t>
      </w:r>
    </w:p>
    <w:p>
      <w:r>
        <w:t>Verbeiständung und Obhutsentzug (Entschädigungsfolge) | Beschwerde ZGB Vormundschaftsrecht</w:t>
      </w:r>
    </w:p>
    <w:p>
      <w:pPr>
        <w:pStyle w:val="Heading2"/>
      </w:pPr>
      <w:r>
        <w:t>Erwägungen</w:t>
      </w:r>
    </w:p>
    <w:p>
      <w:r>
        <w:rPr>
          <w:b/>
        </w:rPr>
        <w:t>E. 2</w:t>
      </w:r>
    </w:p>
    <w:p>
      <w:r>
        <w:t>Superprovisorisch sei der Vormundschaftsbehörde zu untersagen, die Tochter der Beschwerdeführerin, A., geb. 16.12.2009, in eine Pflegefa- milie zu verbringen. Sollte die Umplatzierung bereits erfolgt sein, sei A. raschmöglichst wiederum ihrer Mutter zuzuführen.</w:t>
      </w:r>
    </w:p>
    <w:p>
      <w:r>
        <w:rPr>
          <w:b/>
        </w:rPr>
        <w:t>E. 3</w:t>
      </w:r>
    </w:p>
    <w:p>
      <w:r>
        <w:t>Gegenstand der Beschwerde bildet die Höhe der aussergerichtlichen Ent- schädigung. Es geht somit nicht um die Frage, ob der Beschwerdeführerin für das vorinstanzliche Verfahren überhaupt eine aussergerichtliche Entschädigung zu- steht. Im Hauptpunkt wird die Abschreibungsverfügung des Bezirksgerichtspräsi- denten Imboden nicht angefochten. Deshalb ist auf die „nebenbei“ erhobene Rüge, dass angesichts der Tatsache, dass am 1. Juni 2010 die Hauptverhandlung vor dem Bezirksgerichtsausschuss Imboden stattgefunden hat, die Abschreibung der Be- schwerden durch Gerichtsbeschluss notwendig gewesen wäre und nicht einfach durch Verfügung des Vorsitzenden hätte erfolgen dürfen, nicht weiter einzugehen. 4.a) Mit Verfügung vom 29. März 2010 bzw. 12. April 2010 bewilligte der Bezirks- gerichtspräsident Imboden der Beschwerdeführerin in beiden hängigen Verfahren vor dem Bezirksgerichtsausschuss die unentgeltliche Prozessführung. Er ordnete an, dass für die Prozess- und Anwaltskosten die Gemeinde D. aufzukommen habe (jeweils act. IV/14). In der Abschreibungsverfügung vom 1. Juni 2010 führte er in E.</w:t>
      </w:r>
    </w:p>
    <w:p>
      <w:r>
        <w:rPr>
          <w:b/>
        </w:rPr>
        <w:t>E. 8</w:t>
      </w:r>
    </w:p>
    <w:p>
      <w:r>
        <w:t>zum Kostenpunkt aus, dass die Gerichtskosten in analoger Anwendung von Art. 63 Abs. 2 des Einführungsgesetzes zum Schweizerischen Zivilgesetzbuch (EGz- ZGB; BR 210.100) zu Lasten der Gerichtskasse gehen. Überdies habe X. Anspruch auf eine aussergerichtliche Entschädigung. Rechtsanwalt lic. iur. Diego Quinter habe anlässlich der Hauptverhandlung eine Honorarnote in der Höhe von Fr. 4'756.10 (inkl. 7.6 % MWST) eingereicht. Da letztlich das Gemeinwesen für die Kos- ten der vorliegenden Verfahren aufzukommen habe, rechtfertige sich die Anwen- dung des für die unentgeltliche Rechtspflege geltenden Stundenansatzes (Fr. 200.-</w:t>
      </w:r>
    </w:p>
    <w:p>
      <w:r>
        <w:t>Seite 6 — 8 anstelle von Fr. 240.-), so dass die Honorarnote auf Fr. 3'500.- (inkl. 7.6 % MWST) zu kürzen sei. b) Diese Begründung ist nicht haltbar. Der Bezirksgerichtspräsident Imboden vermischt mit diesem Vorgehen die Prinzipien der Parteientschädigung gemäss Art. 58 Abs. 3 und 4 EGzZGB bzw. Art. 122 ZPO und der Entschädigung des unentgelt- lichen Rechtsvertreters. Vorliegend geht es allein um die Höhe der Parteientschä- digung. Der Bezirksgerichtspräsident Imboden hat Art. 63 Abs. 2 EGzZGB analog angewendet und eine Parteientschädigung zugesprochen, obwohl die Beschwer- den nicht gutgeheissen, sondern aufgrund der in der Zwischenzeit erfolgten Ent- wicklung gegenstandslos geworden sind. Bei Gegenstandslosigkeit des Prozesses gelten aber andere Kriterien für die gerichtliche und aussergerichtliche Kostenfolge (vgl. Art. 122 Abs. 4 ZPO; PKG 1987 Nr. 25 S. 86 f.). Auf das Vorgehen des Be- zirksgerichtspräsidenten Imboden ist indessen nicht mehr zurückzukommen, weil dies unter Umständen eine Verschlechterung der rechtlichen Situation der Be- schwerdeführerin bedeuten könnte (reformatio in peius), was im Beschwerdever- fahren ausgeschlossen ist. c) Aus der Begründung des Bezirksgerichtspräsidenten Imboden geht hervor, dass er der Beschwerdeführerin grundsätzliche eine volle Entschädigung zuspre- chen wollte. Er reduzierte den Stundenansatz nur, weil er der Meinung war, dass letztlich das Gemeinwesen für die Kosten des Verfahrens aufzukommen habe. Die- ses Vorgehen ist unzulässig. Das Gericht kann der obsiegenden Partei die Entschä- digung nicht allein deshalb kürzen, weil ihr ein unentgeltlicher Rechtsbeistand be- stellt worden ist (PKG 2001 Nr. 25 E. 3.b S. 125; Urteil des Bundesgerichts 5P.421/2000 vom 10. Januar 2001, E. 3.b; Norbert Brunner, Die unentgeltliche Rechtspflege nach bündnerischer Zivilprozessordnung – unter besonderer Berück- sichtigung der neueren Praxis des Kantonsgerichtsausschusses von Graubünden, ZGRG 2003 S. 167). Dass es sich bei der Gegenpartei um eine Institution des Ge- meinwesens handelt, ändert nichts daran. Würde man zulassen, dass das Gemein- wesen stets von einem günstigeren Anwaltstarif profitiert, wenn es zur Bezahlung einer aussergerichtlichen Entschädigung verpflichtet wird, so würde dies auf eine nicht zu rechtfertigende Bevorzugung gegenüber einer privaten Partei hinauslaufen, was nicht angeht. 5. Der Bezirksgerichtspräsident Imboden hat nicht nur einen tieferen Stunden- tarif angewendet, sondern auch eine weitere Honorarreduktion im Sinne einer Pau- schalierung vorgenommen. Multipliziert man den geltend gemachten Aufwand von 17.8 Stunden (Fr. 4'272.- : Fr. 240.-) mit dem Stundenansatz von Fr. 200.-, so er-</w:t>
      </w:r>
    </w:p>
    <w:p>
      <w:r>
        <w:t>Seite 7 — 8 gäbe dies Fr. 3'560.-. Zählt man die Spesenpauschale von 3 % (Fr. 106.80) und zum Zwischenergebnis die Mehrwertsteuer von 7.6 % (Fr. 278.70) dazu, so kommt man auf ein Honorar von total Fr. 3'945.50. Der Bezirksgerichtspräsident Imboden hat somit auch beim Anwenden des tieferen Stundenansatzes den Honoraran- spruch um rund Fr. 450.- gekürzt. Der die Honorarnote prüfende Richter verfügt über ein weites Ermessen (BGE 122 I 1 E. 3.a S. 2 f.) und er darf Kürzungen vor- nehmen, wenn der Aufwand nicht als ausgewiesen erscheint. Pauschale Kürzungen ohne entsprechende Begründung sind indessen nicht gestattet und verstossen ge- gen den Anspruch auf rechtliches Gehör. Vielmehr hat der Richter die einzelnen Positionen der Honorarrechnung zu prüfen und Abweichungen davon wenigstens kurz zu begründen (vgl. Brunner, a.a.O., S. 168). Da der Abschreibungsverfügung keine Begründung für die (weitere) Kürzung zu entnehmen ist und das Kantonsge- richt nicht einfach sein Ermessen an die Stelle des Bezirksgerichtspräsidenten Im- boden setzen kann, ist die Sache in Aufhebung der Ziff. 2 an die Vorinstanz zur neuen Entscheidung im Sinne der Erwägungen zurückzuweisen. 6. Da die angefochtene Verfügung gegen klare Rechtsgrundsätze verstösst und somit ein krasser Verfahrensfehler der Vorinstanz vorliegt, sind die Kosten des Be- schwerdeverfahrens dem Bezirksgericht Imboden zu überbinden, welches gleich- zeitig zu verpflichten ist, die Beschwerdeführerin aussergerichtlich für das Verfahren zu entschädigen (vgl. PKG 2004 Nr. 11 E. 7 S. 72 ff.). Die vom Rechtsvertreter der Beschwerdeführerin eingereichte Honorarnote erweist sich dabei als angemessen.</w:t>
      </w:r>
    </w:p>
    <w:p>
      <w:r>
        <w:t>Seite 8 — 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